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2"/>
        <w:wordWrap/>
        <w:spacing w:line="360" w:lineRule="auto"/>
        <w:ind w:left="0" w:leftChars="0" w:right="0"/>
        <w:jc w:val="left"/>
        <w:textAlignment w:val="auto"/>
        <w:outlineLvl w:val="9"/>
        <w:rPr>
          <w:rFonts w:hint="eastAsia" w:ascii="宋体" w:hAnsi="宋体" w:eastAsia="宋体" w:cs="宋体"/>
          <w:bCs/>
          <w:sz w:val="24"/>
          <w:szCs w:val="24"/>
          <w:lang w:eastAsia="zh-CN"/>
        </w:rPr>
      </w:pPr>
      <w:r>
        <w:rPr>
          <w:rFonts w:hint="eastAsia" w:ascii="宋体" w:hAnsi="宋体" w:cs="宋体"/>
          <w:bCs/>
          <w:sz w:val="24"/>
          <w:szCs w:val="24"/>
          <w:lang w:eastAsia="zh-CN"/>
        </w:rPr>
        <w:t>附二十五</w:t>
      </w:r>
    </w:p>
    <w:p>
      <w:pPr>
        <w:pStyle w:val="12"/>
        <w:wordWrap/>
        <w:spacing w:line="360" w:lineRule="auto"/>
        <w:ind w:left="0" w:leftChars="0" w:right="0"/>
        <w:jc w:val="center"/>
        <w:textAlignment w:val="auto"/>
        <w:outlineLvl w:val="9"/>
        <w:rPr>
          <w:rFonts w:hint="eastAsia" w:ascii="宋体" w:hAnsi="宋体" w:eastAsia="宋体" w:cs="宋体"/>
          <w:bCs/>
          <w:sz w:val="24"/>
          <w:szCs w:val="24"/>
        </w:rPr>
      </w:pPr>
      <w:r>
        <w:rPr>
          <w:rFonts w:hint="eastAsia" w:ascii="宋体" w:hAnsi="宋体" w:eastAsia="宋体" w:cs="宋体"/>
          <w:b/>
          <w:bCs w:val="0"/>
          <w:sz w:val="24"/>
          <w:szCs w:val="24"/>
        </w:rPr>
        <w:t>四川省专利实施与促进专项资金管理办法</w:t>
      </w:r>
    </w:p>
    <w:p>
      <w:pPr>
        <w:pStyle w:val="12"/>
        <w:wordWrap/>
        <w:adjustRightInd w:val="0"/>
        <w:snapToGrid w:val="0"/>
        <w:spacing w:line="360" w:lineRule="auto"/>
        <w:ind w:left="0" w:leftChars="0" w:right="0" w:firstLine="560" w:firstLineChars="20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第一章 总 则</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第一条</w:t>
      </w:r>
      <w:r>
        <w:rPr>
          <w:rFonts w:hint="eastAsia" w:ascii="宋体" w:hAnsi="宋体" w:eastAsia="宋体" w:cs="宋体"/>
          <w:sz w:val="24"/>
          <w:szCs w:val="24"/>
        </w:rPr>
        <w:t xml:space="preserve"> </w:t>
      </w:r>
      <w:r>
        <w:rPr>
          <w:rFonts w:hint="eastAsia" w:ascii="宋体" w:hAnsi="宋体" w:eastAsia="宋体" w:cs="宋体"/>
          <w:sz w:val="24"/>
          <w:szCs w:val="24"/>
        </w:rPr>
        <w:t>为贯彻落实《四川省知识产权战略纲要》，引导我省企事业单位运用知识产权制度，促进专利实施与产业化，规范和完善四川省专利实施与促进专项资金管理，根据《中华人民共和国预算法》及有关规定，制定本办法。</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第二条</w:t>
      </w:r>
      <w:r>
        <w:rPr>
          <w:rFonts w:hint="eastAsia" w:ascii="宋体" w:hAnsi="宋体" w:eastAsia="宋体" w:cs="宋体"/>
          <w:sz w:val="24"/>
          <w:szCs w:val="24"/>
        </w:rPr>
        <w:t xml:space="preserve"> </w:t>
      </w:r>
      <w:r>
        <w:rPr>
          <w:rFonts w:hint="eastAsia" w:ascii="宋体" w:hAnsi="宋体" w:eastAsia="宋体" w:cs="宋体"/>
          <w:sz w:val="24"/>
          <w:szCs w:val="24"/>
        </w:rPr>
        <w:t>专利实施与促进专项资金（以下简称专项资金）是指省级财政预算安排，专门用于促进我省专利创造、运用、保护和管理等方面工作的补助资金。</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第三条</w:t>
      </w:r>
      <w:r>
        <w:rPr>
          <w:rFonts w:hint="eastAsia" w:ascii="宋体" w:hAnsi="宋体" w:eastAsia="宋体" w:cs="宋体"/>
          <w:sz w:val="24"/>
          <w:szCs w:val="24"/>
        </w:rPr>
        <w:t xml:space="preserve"> </w:t>
      </w:r>
      <w:r>
        <w:rPr>
          <w:rFonts w:hint="eastAsia" w:ascii="宋体" w:hAnsi="宋体" w:eastAsia="宋体" w:cs="宋体"/>
          <w:sz w:val="24"/>
          <w:szCs w:val="24"/>
        </w:rPr>
        <w:t>专项资金由省知识产权局和省财政厅按照鼓励创新、科学规划、确保实效的原则进行分配和管理。</w:t>
      </w:r>
    </w:p>
    <w:p>
      <w:pPr>
        <w:pStyle w:val="12"/>
        <w:wordWrap/>
        <w:adjustRightInd w:val="0"/>
        <w:snapToGrid w:val="0"/>
        <w:spacing w:line="360" w:lineRule="auto"/>
        <w:ind w:left="0" w:leftChars="0" w:right="0" w:firstLine="560" w:firstLineChars="200"/>
        <w:jc w:val="center"/>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第二章 支持范围和基本条件</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第四条</w:t>
      </w:r>
      <w:r>
        <w:rPr>
          <w:rFonts w:hint="eastAsia" w:ascii="宋体" w:hAnsi="宋体" w:eastAsia="宋体" w:cs="宋体"/>
          <w:sz w:val="24"/>
          <w:szCs w:val="24"/>
        </w:rPr>
        <w:t xml:space="preserve"> </w:t>
      </w:r>
      <w:r>
        <w:rPr>
          <w:rFonts w:hint="eastAsia" w:ascii="宋体" w:hAnsi="宋体" w:eastAsia="宋体" w:cs="宋体"/>
          <w:sz w:val="24"/>
          <w:szCs w:val="24"/>
        </w:rPr>
        <w:t>专项资金主要用于引导我省技术含量高、市场前景好、预期经济效益显著的专利项目的实施及其产业化；支持我省重点企事业单位、园区、区域开展知识产权试点示范和优势培育工作；支持专利文献数据库、专利信息利用系统、专利技术和产品展示交易等服务能力建设；开展知识产权（专利）战略研究及专利预警分析；实施知识产权促进行动，培训专利人才等。</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第五条</w:t>
      </w:r>
      <w:r>
        <w:rPr>
          <w:rFonts w:hint="eastAsia" w:ascii="宋体" w:hAnsi="宋体" w:eastAsia="宋体" w:cs="宋体"/>
          <w:sz w:val="24"/>
          <w:szCs w:val="24"/>
        </w:rPr>
        <w:t xml:space="preserve"> </w:t>
      </w:r>
      <w:r>
        <w:rPr>
          <w:rFonts w:hint="eastAsia" w:ascii="宋体" w:hAnsi="宋体" w:eastAsia="宋体" w:cs="宋体"/>
          <w:sz w:val="24"/>
          <w:szCs w:val="24"/>
        </w:rPr>
        <w:t>申请专项资金的项目应满足以下条件：</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（一）符合国家和我省知识产权战略要求。</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（二）符合国家和我省产业政策，并已开发成功，具有良好的市场前景。</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（三）项目承担单位具有开发、实施专利项目的基础和能力，注重自主知识产权保护工作。</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（四）拥有有效的专利（申请），没有专利纠纷。</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（五）我省重点企事业单位、支柱产业、战略性新兴产业的专利信息利用系统开发、专利公共服务平台建设、专利预警分析、专利人才培养，以及制定实施专利战略等项目。</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第六条</w:t>
      </w:r>
      <w:r>
        <w:rPr>
          <w:rFonts w:hint="eastAsia" w:ascii="宋体" w:hAnsi="宋体" w:eastAsia="宋体" w:cs="宋体"/>
          <w:sz w:val="24"/>
          <w:szCs w:val="24"/>
        </w:rPr>
        <w:t xml:space="preserve"> </w:t>
      </w:r>
      <w:r>
        <w:rPr>
          <w:rFonts w:hint="eastAsia" w:ascii="宋体" w:hAnsi="宋体" w:eastAsia="宋体" w:cs="宋体"/>
          <w:sz w:val="24"/>
          <w:szCs w:val="24"/>
        </w:rPr>
        <w:t>申报项目具备以下条件之一的，可以给予重点支持：</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（一）国家或我省重大科技专项、重点领域、重大产业化项目的核心专利技术的实施与保护。</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（二）高新技术核心专利技术的转化、实施与保护。</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（三）国家或省级知识产权试点示范和优势培育的企事业单位、园区、区域的专利创造、运用、保护和管理。</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第七条</w:t>
      </w:r>
      <w:r>
        <w:rPr>
          <w:rFonts w:hint="eastAsia" w:ascii="宋体" w:hAnsi="宋体" w:eastAsia="宋体" w:cs="宋体"/>
          <w:sz w:val="24"/>
          <w:szCs w:val="24"/>
        </w:rPr>
        <w:t xml:space="preserve"> </w:t>
      </w:r>
      <w:r>
        <w:rPr>
          <w:rFonts w:hint="eastAsia" w:ascii="宋体" w:hAnsi="宋体" w:eastAsia="宋体" w:cs="宋体"/>
          <w:sz w:val="24"/>
          <w:szCs w:val="24"/>
        </w:rPr>
        <w:t>专项资金必须专款专用，严禁用于人员、公用经费、基本建设等与所申报项目知识产权（专利）工作无关的方面。</w:t>
      </w:r>
    </w:p>
    <w:p>
      <w:pPr>
        <w:pStyle w:val="12"/>
        <w:wordWrap/>
        <w:adjustRightInd w:val="0"/>
        <w:snapToGrid w:val="0"/>
        <w:spacing w:line="360" w:lineRule="auto"/>
        <w:ind w:left="0" w:leftChars="0" w:right="0" w:firstLine="560" w:firstLineChars="20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第三章 项目申报、评审和实施</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第八条</w:t>
      </w:r>
      <w:r>
        <w:rPr>
          <w:rFonts w:hint="eastAsia" w:ascii="宋体" w:hAnsi="宋体" w:eastAsia="宋体" w:cs="宋体"/>
          <w:sz w:val="24"/>
          <w:szCs w:val="24"/>
        </w:rPr>
        <w:t xml:space="preserve"> </w:t>
      </w:r>
      <w:r>
        <w:rPr>
          <w:rFonts w:hint="eastAsia" w:ascii="宋体" w:hAnsi="宋体" w:eastAsia="宋体" w:cs="宋体"/>
          <w:sz w:val="24"/>
          <w:szCs w:val="24"/>
        </w:rPr>
        <w:t>项目申报程序和申报材料要求。</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一）申报程序：各市（州）、扩权试点县（市）知识产权、财政部门共同组织本地项目的申报，并将相关申报文件联合报送至省知识产权局、省财政厅。扩权试点县（市）同时还应将相关申报文件报市（州）知识产权和财政部门备案。省属单位的项目由省级主管部门审核后向省知识产权局、省财政厅推荐。特别重要的项目，经省知识产权局、省财政厅同意，可直接申报。</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（二）申报材料要求：申请材料一式两份，由专项资金项目申报书及附件两部分组成。</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专项资金项目申报书为申请的正式文本，由项目承担单位如实填写，并由推荐部门填写推荐意见。主要包括：申报单位基本情况，开展专利工作情况，项目实施方案、目的、意义，发明创造要点和作用、市场前景及预期经济社会效益分析，项目实施准备情况和投资情况，项目验收绩效目标（包括目标的量化、细化情况以及项目实施进度计划），专项资金支出计划，以及附件材料清单等内容。</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附件为相关证明资料，主要包括：有效专利（申请）证明、项目的可行性报告、项目的小试或中试报告、产品检测报告、实施许可证明、生产或产品许可证、获奖证书、鉴定报告或该项目列入有关部门计划及获得资金支持情况说明，国家或省级知识产权试点、示范或优势培育企业，知识产权试点园区、知识产权强县试点工程、试点示范城市，省级培育大企业大集团、重点进出口企业、创新型企业、高新技术企业、成长性中小企业、农业产业化龙头企业，省级以上重大科技专项、战略性新兴产业重点项目等的证明材料。</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（三）申报时间：省知识产权局和省财政厅根据全省专利工作发展需要发布当年的申报指南，各地在每年</w:t>
      </w:r>
      <w:r>
        <w:rPr>
          <w:rFonts w:hint="eastAsia" w:ascii="宋体" w:hAnsi="宋体" w:eastAsia="宋体" w:cs="宋体"/>
          <w:sz w:val="24"/>
          <w:szCs w:val="24"/>
        </w:rPr>
        <w:t>4</w:t>
      </w:r>
      <w:r>
        <w:rPr>
          <w:rFonts w:hint="eastAsia" w:ascii="宋体" w:hAnsi="宋体" w:eastAsia="宋体" w:cs="宋体"/>
          <w:sz w:val="24"/>
          <w:szCs w:val="24"/>
        </w:rPr>
        <w:t>月</w:t>
      </w:r>
      <w:r>
        <w:rPr>
          <w:rFonts w:hint="eastAsia" w:ascii="宋体" w:hAnsi="宋体" w:eastAsia="宋体" w:cs="宋体"/>
          <w:sz w:val="24"/>
          <w:szCs w:val="24"/>
        </w:rPr>
        <w:t>30</w:t>
      </w:r>
      <w:r>
        <w:rPr>
          <w:rFonts w:hint="eastAsia" w:ascii="宋体" w:hAnsi="宋体" w:eastAsia="宋体" w:cs="宋体"/>
          <w:sz w:val="24"/>
          <w:szCs w:val="24"/>
        </w:rPr>
        <w:t>日前按规定上报相关文件和资料。</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第九条</w:t>
      </w:r>
      <w:r>
        <w:rPr>
          <w:rFonts w:hint="eastAsia" w:ascii="宋体" w:hAnsi="宋体" w:eastAsia="宋体" w:cs="宋体"/>
          <w:sz w:val="24"/>
          <w:szCs w:val="24"/>
        </w:rPr>
        <w:t xml:space="preserve"> </w:t>
      </w:r>
      <w:r>
        <w:rPr>
          <w:rFonts w:hint="eastAsia" w:ascii="宋体" w:hAnsi="宋体" w:eastAsia="宋体" w:cs="宋体"/>
          <w:sz w:val="24"/>
          <w:szCs w:val="24"/>
        </w:rPr>
        <w:t>项目评审和预算下达</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（一）省知识产权局、省财政厅对申报项目进行汇总、初审后，共同组织评审，必要时进行现场调查，据此对项目排序，统一纳入项目库管理。</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（二）对拟给予重点支持的项目，由省知识产权局、省财政厅组织专家评审。</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（三）省知识产权局提出项目和资金安排建议，省财政厅审核后会同省知识产权局确定专项资金分配方案。</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（四）省财政厅按资金分配方案及时下达预算和拨付资金。有关市（州）、扩权试点县财政局在收到省财政厅专项资金文件后，应按规定的资金用途、对象，及时下达预算和拨付资金。</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第十条</w:t>
      </w:r>
      <w:r>
        <w:rPr>
          <w:rFonts w:hint="eastAsia" w:ascii="宋体" w:hAnsi="宋体" w:eastAsia="宋体" w:cs="宋体"/>
          <w:sz w:val="24"/>
          <w:szCs w:val="24"/>
        </w:rPr>
        <w:t xml:space="preserve"> </w:t>
      </w:r>
      <w:r>
        <w:rPr>
          <w:rFonts w:hint="eastAsia" w:ascii="宋体" w:hAnsi="宋体" w:eastAsia="宋体" w:cs="宋体"/>
          <w:sz w:val="24"/>
          <w:szCs w:val="24"/>
        </w:rPr>
        <w:t>项目实施</w:t>
      </w:r>
    </w:p>
    <w:p>
      <w:pPr>
        <w:pStyle w:val="12"/>
        <w:wordWrap/>
        <w:adjustRightInd w:val="0"/>
        <w:snapToGrid w:val="0"/>
        <w:spacing w:line="360" w:lineRule="auto"/>
        <w:ind w:left="0" w:leftChars="0" w:right="0" w:firstLine="140" w:firstLineChars="50"/>
        <w:textAlignment w:val="auto"/>
        <w:outlineLvl w:val="9"/>
        <w:rPr>
          <w:rFonts w:hint="eastAsia" w:ascii="宋体" w:hAnsi="宋体" w:eastAsia="宋体" w:cs="宋体"/>
          <w:sz w:val="24"/>
          <w:szCs w:val="24"/>
        </w:rPr>
      </w:pPr>
      <w:r>
        <w:rPr>
          <w:rFonts w:hint="eastAsia" w:ascii="宋体" w:hAnsi="宋体" w:eastAsia="宋体" w:cs="宋体"/>
          <w:sz w:val="24"/>
          <w:szCs w:val="24"/>
        </w:rPr>
        <w:t>　（一）项目单位要按计划尽快组织项目实施，有效安排和使用专项资金，充分发挥资金效益，并按相关财会制度规定，设立专账管理，严格使用范围和开支标准，防止挤占、挪用专项资金。</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（二）项目实施时限一般不超过</w:t>
      </w:r>
      <w:r>
        <w:rPr>
          <w:rFonts w:hint="eastAsia" w:ascii="宋体" w:hAnsi="宋体" w:eastAsia="宋体" w:cs="宋体"/>
          <w:sz w:val="24"/>
          <w:szCs w:val="24"/>
        </w:rPr>
        <w:t>2</w:t>
      </w:r>
      <w:r>
        <w:rPr>
          <w:rFonts w:hint="eastAsia" w:ascii="宋体" w:hAnsi="宋体" w:eastAsia="宋体" w:cs="宋体"/>
          <w:sz w:val="24"/>
          <w:szCs w:val="24"/>
        </w:rPr>
        <w:t>年，如到期不能按计划组织项目实施或建设内容、投资方案有重大调整的，应按原申报程序逐级上报省知识产权局和省财政厅，经审批后按批复意见办理。</w:t>
      </w:r>
    </w:p>
    <w:p>
      <w:pPr>
        <w:pStyle w:val="12"/>
        <w:wordWrap/>
        <w:adjustRightInd w:val="0"/>
        <w:snapToGrid w:val="0"/>
        <w:spacing w:line="360" w:lineRule="auto"/>
        <w:ind w:left="0" w:leftChars="0" w:right="0" w:firstLine="560" w:firstLineChars="200"/>
        <w:jc w:val="center"/>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第四章 管理和监督检查</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第十一条</w:t>
      </w:r>
      <w:r>
        <w:rPr>
          <w:rFonts w:hint="eastAsia" w:ascii="宋体" w:hAnsi="宋体" w:eastAsia="宋体" w:cs="宋体"/>
          <w:sz w:val="24"/>
          <w:szCs w:val="24"/>
        </w:rPr>
        <w:t xml:space="preserve"> </w:t>
      </w:r>
      <w:r>
        <w:rPr>
          <w:rFonts w:hint="eastAsia" w:ascii="宋体" w:hAnsi="宋体" w:eastAsia="宋体" w:cs="宋体"/>
          <w:sz w:val="24"/>
          <w:szCs w:val="24"/>
        </w:rPr>
        <w:t>省知识产权局和省财政厅共同对下达的计划项目实施跟踪管理，按照国家有关规定对项目实施情况、专项资金使用情况进行定期或不定期监督检查和绩效评价。</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第十二条</w:t>
      </w:r>
      <w:r>
        <w:rPr>
          <w:rFonts w:hint="eastAsia" w:ascii="宋体" w:hAnsi="宋体" w:eastAsia="宋体" w:cs="宋体"/>
          <w:sz w:val="24"/>
          <w:szCs w:val="24"/>
        </w:rPr>
        <w:t xml:space="preserve"> </w:t>
      </w:r>
      <w:r>
        <w:rPr>
          <w:rFonts w:hint="eastAsia" w:ascii="宋体" w:hAnsi="宋体" w:eastAsia="宋体" w:cs="宋体"/>
          <w:sz w:val="24"/>
          <w:szCs w:val="24"/>
        </w:rPr>
        <w:t>市（州）、扩权试点县知识产权和财政部门应按规定组织本地区专项资金项目的征集推荐和项目申报工作，严格审核项目申报资格条件及相关资料。负责对专项资金的使用、项目实施情况进行管理和监督，督促项目单位按计划组织项目实施，并将上一年度相关工作情况总结上报省知识产权局和省财政厅。</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第十三条</w:t>
      </w:r>
      <w:r>
        <w:rPr>
          <w:rFonts w:hint="eastAsia" w:ascii="宋体" w:hAnsi="宋体" w:eastAsia="宋体" w:cs="宋体"/>
          <w:sz w:val="24"/>
          <w:szCs w:val="24"/>
        </w:rPr>
        <w:t xml:space="preserve"> </w:t>
      </w:r>
      <w:r>
        <w:rPr>
          <w:rFonts w:hint="eastAsia" w:ascii="宋体" w:hAnsi="宋体" w:eastAsia="宋体" w:cs="宋体"/>
          <w:sz w:val="24"/>
          <w:szCs w:val="24"/>
        </w:rPr>
        <w:t>项目承担单位必须保证项目及相关资料真实性和完整性，积极组织项目实施，并向同级知识产权和财政部门报告资金使用、项目实施等情况，自觉接受相关部门的监督检查，认真配合开展项目验收和绩效评价。</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第十四条</w:t>
      </w:r>
      <w:r>
        <w:rPr>
          <w:rFonts w:hint="eastAsia" w:ascii="宋体" w:hAnsi="宋体" w:eastAsia="宋体" w:cs="宋体"/>
          <w:sz w:val="24"/>
          <w:szCs w:val="24"/>
        </w:rPr>
        <w:t xml:space="preserve"> </w:t>
      </w:r>
      <w:r>
        <w:rPr>
          <w:rFonts w:hint="eastAsia" w:ascii="宋体" w:hAnsi="宋体" w:eastAsia="宋体" w:cs="宋体"/>
          <w:sz w:val="24"/>
          <w:szCs w:val="24"/>
        </w:rPr>
        <w:t>项目验收以批准立项的项目申报书为依据。重点项目验收由省知识产权局负责组织，一般项目验收由市（州）知识产权局</w:t>
      </w:r>
      <w:bookmarkStart w:id="0" w:name="_GoBack"/>
      <w:bookmarkEnd w:id="0"/>
      <w:r>
        <w:rPr>
          <w:rFonts w:hint="eastAsia" w:ascii="宋体" w:hAnsi="宋体" w:eastAsia="宋体" w:cs="宋体"/>
          <w:sz w:val="24"/>
          <w:szCs w:val="24"/>
        </w:rPr>
        <w:t>负责组织。</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第十五条</w:t>
      </w:r>
      <w:r>
        <w:rPr>
          <w:rFonts w:hint="eastAsia" w:ascii="宋体" w:hAnsi="宋体" w:eastAsia="宋体" w:cs="宋体"/>
          <w:sz w:val="24"/>
          <w:szCs w:val="24"/>
        </w:rPr>
        <w:t xml:space="preserve"> </w:t>
      </w:r>
      <w:r>
        <w:rPr>
          <w:rFonts w:hint="eastAsia" w:ascii="宋体" w:hAnsi="宋体" w:eastAsia="宋体" w:cs="宋体"/>
          <w:sz w:val="24"/>
          <w:szCs w:val="24"/>
        </w:rPr>
        <w:t>任何单位或个人不得以任何形式、任何理由骗取、截留和挪用专项资金。对弄虚作假、截留和挪用的，一经查实，按照《财政违法行为处罚处分条例》等相关规定处理；触犯法律的，依法移交司法机关处理。同时相应取消该市（州）、扩权试点县下一年度申请使用专项资金的资格，两年内不再受理该项目单位的相关申请。</w:t>
      </w:r>
    </w:p>
    <w:p>
      <w:pPr>
        <w:pStyle w:val="12"/>
        <w:wordWrap/>
        <w:adjustRightInd w:val="0"/>
        <w:snapToGrid w:val="0"/>
        <w:spacing w:line="360" w:lineRule="auto"/>
        <w:ind w:left="0" w:leftChars="0" w:right="0" w:firstLine="560" w:firstLineChars="20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第五章 附则</w:t>
      </w:r>
    </w:p>
    <w:p>
      <w:pPr>
        <w:pStyle w:val="12"/>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第十六条</w:t>
      </w:r>
      <w:r>
        <w:rPr>
          <w:rFonts w:hint="eastAsia" w:ascii="宋体" w:hAnsi="宋体" w:eastAsia="宋体" w:cs="宋体"/>
          <w:sz w:val="24"/>
          <w:szCs w:val="24"/>
        </w:rPr>
        <w:t xml:space="preserve"> </w:t>
      </w:r>
      <w:r>
        <w:rPr>
          <w:rFonts w:hint="eastAsia" w:ascii="宋体" w:hAnsi="宋体" w:eastAsia="宋体" w:cs="宋体"/>
          <w:sz w:val="24"/>
          <w:szCs w:val="24"/>
        </w:rPr>
        <w:t>本办法由省财政厅会同省知识产权局解释。</w:t>
      </w:r>
    </w:p>
    <w:p>
      <w:pPr>
        <w:wordWrap/>
        <w:adjustRightInd w:val="0"/>
        <w:snapToGrid w:val="0"/>
        <w:spacing w:line="360" w:lineRule="auto"/>
        <w:ind w:left="0" w:leftChars="0" w:right="0" w:firstLine="560"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第十七条</w:t>
      </w:r>
      <w:r>
        <w:rPr>
          <w:rFonts w:hint="eastAsia" w:ascii="宋体" w:hAnsi="宋体" w:eastAsia="宋体" w:cs="宋体"/>
          <w:sz w:val="24"/>
          <w:szCs w:val="24"/>
        </w:rPr>
        <w:t xml:space="preserve"> </w:t>
      </w:r>
      <w:r>
        <w:rPr>
          <w:rFonts w:hint="eastAsia" w:ascii="宋体" w:hAnsi="宋体" w:eastAsia="宋体" w:cs="宋体"/>
          <w:sz w:val="24"/>
          <w:szCs w:val="24"/>
        </w:rPr>
        <w:t>本办法自发布之日起</w:t>
      </w:r>
      <w:r>
        <w:rPr>
          <w:rFonts w:hint="eastAsia" w:ascii="宋体" w:hAnsi="宋体" w:eastAsia="宋体" w:cs="宋体"/>
          <w:sz w:val="24"/>
          <w:szCs w:val="24"/>
        </w:rPr>
        <w:t>30</w:t>
      </w:r>
      <w:r>
        <w:rPr>
          <w:rFonts w:hint="eastAsia" w:ascii="宋体" w:hAnsi="宋体" w:eastAsia="宋体" w:cs="宋体"/>
          <w:sz w:val="24"/>
          <w:szCs w:val="24"/>
        </w:rPr>
        <w:t>天后施行，有效期五年。原《四川省省级专利实施专项资金管理暂行办法》（川财建〔</w:t>
      </w:r>
      <w:r>
        <w:rPr>
          <w:rFonts w:hint="eastAsia" w:ascii="宋体" w:hAnsi="宋体" w:eastAsia="宋体" w:cs="宋体"/>
          <w:sz w:val="24"/>
          <w:szCs w:val="24"/>
        </w:rPr>
        <w:t>2004</w:t>
      </w:r>
      <w:r>
        <w:rPr>
          <w:rFonts w:hint="eastAsia" w:ascii="宋体" w:hAnsi="宋体" w:eastAsia="宋体" w:cs="宋体"/>
          <w:sz w:val="24"/>
          <w:szCs w:val="24"/>
        </w:rPr>
        <w:t>〕</w:t>
      </w:r>
      <w:r>
        <w:rPr>
          <w:rFonts w:hint="eastAsia" w:ascii="宋体" w:hAnsi="宋体" w:eastAsia="宋体" w:cs="宋体"/>
          <w:sz w:val="24"/>
          <w:szCs w:val="24"/>
        </w:rPr>
        <w:t>75</w:t>
      </w:r>
      <w:r>
        <w:rPr>
          <w:rFonts w:hint="eastAsia" w:ascii="宋体" w:hAnsi="宋体" w:eastAsia="宋体" w:cs="宋体"/>
          <w:sz w:val="24"/>
          <w:szCs w:val="24"/>
        </w:rPr>
        <w:t>号）同时废止。</w:t>
      </w:r>
    </w:p>
    <w:sectPr>
      <w:pgSz w:w="11906" w:h="16838"/>
      <w:pgMar w:top="851" w:right="1077" w:bottom="851"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10002FF" w:usb1="4000ACFF" w:usb2="00000009"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Cambria" w:hAnsi="Cambria" w:eastAsia="宋体"/>
      <w:b/>
      <w:bCs/>
      <w:sz w:val="32"/>
      <w:szCs w:val="32"/>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Cambria" w:hAnsi="Cambria" w:eastAsia="宋体"/>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Cambria" w:hAnsi="Cambria" w:eastAsia="宋体"/>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Cambria" w:hAnsi="Cambria" w:eastAsia="宋体"/>
      <w:sz w:val="24"/>
      <w:szCs w:val="24"/>
    </w:rPr>
  </w:style>
  <w:style w:type="paragraph" w:styleId="10">
    <w:name w:val="heading 9"/>
    <w:basedOn w:val="1"/>
    <w:next w:val="1"/>
    <w:link w:val="30"/>
    <w:semiHidden/>
    <w:unhideWhenUsed/>
    <w:qFormat/>
    <w:uiPriority w:val="9"/>
    <w:pPr>
      <w:keepNext/>
      <w:keepLines/>
      <w:spacing w:before="240" w:after="64" w:line="320" w:lineRule="auto"/>
      <w:outlineLvl w:val="8"/>
    </w:pPr>
    <w:rPr>
      <w:rFonts w:ascii="Cambria" w:hAnsi="Cambria" w:eastAsia="宋体"/>
      <w:szCs w:val="21"/>
    </w:rPr>
  </w:style>
  <w:style w:type="character" w:default="1" w:styleId="14">
    <w:name w:val="Default Paragraph Font"/>
    <w:semiHidden/>
    <w:unhideWhenUsed/>
    <w:uiPriority w:val="1"/>
  </w:style>
  <w:style w:type="paragraph" w:styleId="11">
    <w:name w:val="Subtitle"/>
    <w:basedOn w:val="1"/>
    <w:next w:val="1"/>
    <w:link w:val="32"/>
    <w:qFormat/>
    <w:uiPriority w:val="11"/>
    <w:pPr>
      <w:spacing w:before="240" w:after="60" w:line="312" w:lineRule="auto"/>
      <w:jc w:val="center"/>
      <w:outlineLvl w:val="1"/>
    </w:pPr>
    <w:rPr>
      <w:rFonts w:ascii="Cambria" w:hAnsi="Cambria" w:eastAsia="宋体"/>
      <w:b/>
      <w:bCs/>
      <w:kern w:val="28"/>
      <w:sz w:val="32"/>
      <w:szCs w:val="32"/>
    </w:rPr>
  </w:style>
  <w:style w:type="paragraph" w:styleId="12">
    <w:name w:val="Normal (Web)"/>
    <w:basedOn w:val="1"/>
    <w:semiHidden/>
    <w:unhideWhenUsed/>
    <w:uiPriority w:val="99"/>
    <w:pPr>
      <w:widowControl/>
      <w:spacing w:before="100" w:beforeAutospacing="1" w:after="100" w:afterAutospacing="1"/>
      <w:jc w:val="left"/>
    </w:pPr>
    <w:rPr>
      <w:rFonts w:ascii="ˎ̥" w:hAnsi="ˎ̥" w:eastAsia="宋体" w:cs="宋体"/>
      <w:kern w:val="0"/>
      <w:sz w:val="12"/>
      <w:szCs w:val="12"/>
    </w:rPr>
  </w:style>
  <w:style w:type="paragraph" w:styleId="13">
    <w:name w:val="Title"/>
    <w:basedOn w:val="1"/>
    <w:next w:val="1"/>
    <w:link w:val="31"/>
    <w:qFormat/>
    <w:uiPriority w:val="10"/>
    <w:pPr>
      <w:spacing w:before="240" w:after="60"/>
      <w:jc w:val="center"/>
      <w:outlineLvl w:val="0"/>
    </w:pPr>
    <w:rPr>
      <w:rFonts w:ascii="Cambria" w:hAnsi="Cambria" w:eastAsia="宋体"/>
      <w:b/>
      <w:bCs/>
      <w:sz w:val="32"/>
      <w:szCs w:val="32"/>
    </w:rPr>
  </w:style>
  <w:style w:type="character" w:styleId="15">
    <w:name w:val="Strong"/>
    <w:basedOn w:val="14"/>
    <w:qFormat/>
    <w:uiPriority w:val="22"/>
    <w:rPr>
      <w:b/>
      <w:bCs/>
    </w:rPr>
  </w:style>
  <w:style w:type="character" w:styleId="16">
    <w:name w:val="Emphasis"/>
    <w:basedOn w:val="14"/>
    <w:qFormat/>
    <w:uiPriority w:val="20"/>
    <w:rPr>
      <w:i/>
      <w:iCs/>
    </w:rPr>
  </w:style>
  <w:style w:type="paragraph" w:customStyle="1" w:styleId="17">
    <w:name w:val="No Spacing"/>
    <w:basedOn w:val="1"/>
    <w:qFormat/>
    <w:uiPriority w:val="1"/>
    <w:rPr>
      <w:rFonts w:ascii="Calibri" w:hAnsi="Calibri" w:eastAsia="宋体"/>
      <w:kern w:val="2"/>
      <w:sz w:val="21"/>
      <w:szCs w:val="22"/>
      <w:lang w:val="en-US" w:eastAsia="zh-CN" w:bidi="ar-SA"/>
    </w:rPr>
  </w:style>
  <w:style w:type="paragraph" w:customStyle="1" w:styleId="18">
    <w:name w:val="List Paragraph"/>
    <w:basedOn w:val="1"/>
    <w:qFormat/>
    <w:uiPriority w:val="34"/>
    <w:pPr>
      <w:ind w:firstLine="420" w:firstLineChars="200"/>
    </w:pPr>
  </w:style>
  <w:style w:type="paragraph" w:customStyle="1" w:styleId="19">
    <w:name w:val="Quote"/>
    <w:basedOn w:val="1"/>
    <w:next w:val="1"/>
    <w:link w:val="33"/>
    <w:qFormat/>
    <w:uiPriority w:val="29"/>
    <w:rPr>
      <w:i/>
      <w:iCs/>
      <w:color w:val="000000"/>
    </w:rPr>
  </w:style>
  <w:style w:type="paragraph" w:customStyle="1" w:styleId="20">
    <w:name w:val="Intense Quote"/>
    <w:basedOn w:val="1"/>
    <w:next w:val="1"/>
    <w:link w:val="34"/>
    <w:qFormat/>
    <w:uiPriority w:val="30"/>
    <w:pPr>
      <w:pBdr>
        <w:bottom w:val="single" w:color="4F81BD" w:sz="4" w:space="4"/>
      </w:pBdr>
      <w:spacing w:before="200" w:after="280"/>
      <w:ind w:left="936" w:right="936"/>
    </w:pPr>
    <w:rPr>
      <w:b/>
      <w:bCs/>
      <w:i/>
      <w:iCs/>
      <w:color w:val="4F81BD"/>
    </w:rPr>
  </w:style>
  <w:style w:type="paragraph" w:customStyle="1" w:styleId="21">
    <w:name w:val="TOC Heading"/>
    <w:basedOn w:val="2"/>
    <w:next w:val="1"/>
    <w:semiHidden/>
    <w:unhideWhenUsed/>
    <w:qFormat/>
    <w:uiPriority w:val="39"/>
    <w:pPr>
      <w:outlineLvl w:val="9"/>
    </w:pPr>
  </w:style>
  <w:style w:type="character" w:customStyle="1" w:styleId="22">
    <w:name w:val="标题 1 Char"/>
    <w:basedOn w:val="14"/>
    <w:link w:val="2"/>
    <w:uiPriority w:val="9"/>
    <w:rPr>
      <w:b/>
      <w:bCs/>
      <w:kern w:val="44"/>
      <w:sz w:val="44"/>
      <w:szCs w:val="44"/>
    </w:rPr>
  </w:style>
  <w:style w:type="character" w:customStyle="1" w:styleId="23">
    <w:name w:val="标题 2 Char"/>
    <w:basedOn w:val="14"/>
    <w:link w:val="3"/>
    <w:uiPriority w:val="9"/>
    <w:rPr>
      <w:rFonts w:ascii="Cambria" w:hAnsi="Cambria" w:eastAsia="宋体"/>
      <w:b/>
      <w:bCs/>
      <w:sz w:val="32"/>
      <w:szCs w:val="32"/>
    </w:rPr>
  </w:style>
  <w:style w:type="character" w:customStyle="1" w:styleId="24">
    <w:name w:val="标题 3 Char"/>
    <w:basedOn w:val="14"/>
    <w:link w:val="4"/>
    <w:uiPriority w:val="9"/>
    <w:rPr>
      <w:b/>
      <w:bCs/>
      <w:sz w:val="32"/>
      <w:szCs w:val="32"/>
    </w:rPr>
  </w:style>
  <w:style w:type="character" w:customStyle="1" w:styleId="25">
    <w:name w:val="标题 4 Char"/>
    <w:basedOn w:val="14"/>
    <w:link w:val="5"/>
    <w:semiHidden/>
    <w:uiPriority w:val="9"/>
    <w:rPr>
      <w:rFonts w:ascii="Cambria" w:hAnsi="Cambria" w:eastAsia="宋体"/>
      <w:b/>
      <w:bCs/>
      <w:sz w:val="28"/>
      <w:szCs w:val="28"/>
    </w:rPr>
  </w:style>
  <w:style w:type="character" w:customStyle="1" w:styleId="26">
    <w:name w:val="标题 5 Char"/>
    <w:basedOn w:val="14"/>
    <w:link w:val="6"/>
    <w:semiHidden/>
    <w:uiPriority w:val="9"/>
    <w:rPr>
      <w:b/>
      <w:bCs/>
      <w:sz w:val="28"/>
      <w:szCs w:val="28"/>
    </w:rPr>
  </w:style>
  <w:style w:type="character" w:customStyle="1" w:styleId="27">
    <w:name w:val="标题 6 Char"/>
    <w:basedOn w:val="14"/>
    <w:link w:val="7"/>
    <w:semiHidden/>
    <w:uiPriority w:val="9"/>
    <w:rPr>
      <w:rFonts w:ascii="Cambria" w:hAnsi="Cambria" w:eastAsia="宋体"/>
      <w:b/>
      <w:bCs/>
      <w:sz w:val="24"/>
      <w:szCs w:val="24"/>
    </w:rPr>
  </w:style>
  <w:style w:type="character" w:customStyle="1" w:styleId="28">
    <w:name w:val="标题 7 Char"/>
    <w:basedOn w:val="14"/>
    <w:link w:val="8"/>
    <w:semiHidden/>
    <w:uiPriority w:val="9"/>
    <w:rPr>
      <w:b/>
      <w:bCs/>
      <w:sz w:val="24"/>
      <w:szCs w:val="24"/>
    </w:rPr>
  </w:style>
  <w:style w:type="character" w:customStyle="1" w:styleId="29">
    <w:name w:val="标题 8 Char"/>
    <w:basedOn w:val="14"/>
    <w:link w:val="9"/>
    <w:semiHidden/>
    <w:uiPriority w:val="9"/>
    <w:rPr>
      <w:rFonts w:ascii="Cambria" w:hAnsi="Cambria" w:eastAsia="宋体"/>
      <w:sz w:val="24"/>
      <w:szCs w:val="24"/>
    </w:rPr>
  </w:style>
  <w:style w:type="character" w:customStyle="1" w:styleId="30">
    <w:name w:val="标题 9 Char"/>
    <w:basedOn w:val="14"/>
    <w:link w:val="10"/>
    <w:semiHidden/>
    <w:uiPriority w:val="9"/>
    <w:rPr>
      <w:rFonts w:ascii="Cambria" w:hAnsi="Cambria" w:eastAsia="宋体"/>
      <w:szCs w:val="21"/>
    </w:rPr>
  </w:style>
  <w:style w:type="character" w:customStyle="1" w:styleId="31">
    <w:name w:val="标题 Char"/>
    <w:basedOn w:val="14"/>
    <w:link w:val="13"/>
    <w:uiPriority w:val="10"/>
    <w:rPr>
      <w:rFonts w:ascii="Cambria" w:hAnsi="Cambria" w:eastAsia="宋体"/>
      <w:b/>
      <w:bCs/>
      <w:sz w:val="32"/>
      <w:szCs w:val="32"/>
    </w:rPr>
  </w:style>
  <w:style w:type="character" w:customStyle="1" w:styleId="32">
    <w:name w:val="副标题 Char"/>
    <w:basedOn w:val="14"/>
    <w:link w:val="11"/>
    <w:uiPriority w:val="11"/>
    <w:rPr>
      <w:rFonts w:ascii="Cambria" w:hAnsi="Cambria" w:eastAsia="宋体"/>
      <w:b/>
      <w:bCs/>
      <w:kern w:val="28"/>
      <w:sz w:val="32"/>
      <w:szCs w:val="32"/>
    </w:rPr>
  </w:style>
  <w:style w:type="character" w:customStyle="1" w:styleId="33">
    <w:name w:val="引用 Char"/>
    <w:basedOn w:val="14"/>
    <w:link w:val="19"/>
    <w:uiPriority w:val="29"/>
    <w:rPr>
      <w:i/>
      <w:iCs/>
      <w:color w:val="000000"/>
    </w:rPr>
  </w:style>
  <w:style w:type="character" w:customStyle="1" w:styleId="34">
    <w:name w:val="明显引用 Char"/>
    <w:basedOn w:val="14"/>
    <w:link w:val="20"/>
    <w:uiPriority w:val="30"/>
    <w:rPr>
      <w:b/>
      <w:bCs/>
      <w:i/>
      <w:iCs/>
      <w:color w:val="4F81BD"/>
    </w:rPr>
  </w:style>
  <w:style w:type="character" w:customStyle="1" w:styleId="35">
    <w:name w:val="Subtle Emphasis"/>
    <w:qFormat/>
    <w:uiPriority w:val="19"/>
    <w:rPr>
      <w:i/>
      <w:iCs/>
      <w:color w:val="7F7F7F"/>
    </w:rPr>
  </w:style>
  <w:style w:type="character" w:customStyle="1" w:styleId="36">
    <w:name w:val="Intense Emphasis"/>
    <w:basedOn w:val="14"/>
    <w:qFormat/>
    <w:uiPriority w:val="21"/>
    <w:rPr>
      <w:b/>
      <w:bCs/>
      <w:i/>
      <w:iCs/>
      <w:color w:val="4F81BD"/>
    </w:rPr>
  </w:style>
  <w:style w:type="character" w:customStyle="1" w:styleId="37">
    <w:name w:val="Subtle Reference"/>
    <w:basedOn w:val="14"/>
    <w:qFormat/>
    <w:uiPriority w:val="31"/>
    <w:rPr>
      <w:smallCaps/>
      <w:color w:val="C0504D"/>
      <w:u w:val="single"/>
    </w:rPr>
  </w:style>
  <w:style w:type="character" w:customStyle="1" w:styleId="38">
    <w:name w:val="Intense Reference"/>
    <w:basedOn w:val="14"/>
    <w:qFormat/>
    <w:uiPriority w:val="32"/>
    <w:rPr>
      <w:b/>
      <w:bCs/>
      <w:smallCaps/>
      <w:color w:val="C0504D"/>
      <w:spacing w:val="5"/>
      <w:u w:val="single"/>
    </w:rPr>
  </w:style>
  <w:style w:type="character" w:customStyle="1" w:styleId="39">
    <w:name w:val="Book Title"/>
    <w:basedOn w:val="14"/>
    <w:qFormat/>
    <w:uiPriority w:val="33"/>
    <w:rPr>
      <w:b/>
      <w:bCs/>
      <w:smallCaps/>
      <w:spacing w:val="5"/>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390</Words>
  <Characters>2228</Characters>
  <Lines>18</Lines>
  <Paragraphs>5</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2011-05-31T04:41:00Z</dcterms:created>
  <dc:creator>我的文档</dc:creator>
  <cp:lastModifiedBy>lx</cp:lastModifiedBy>
  <dcterms:modified xsi:type="dcterms:W3CDTF">2014-03-10T09:49:45Z</dcterms:modified>
  <dc:title>附二十五</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